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1985"/>
        <w:gridCol w:w="2620"/>
        <w:gridCol w:w="4605"/>
      </w:tblGrid>
      <w:tr w:rsidR="000202E5" w:rsidRPr="003F685C" w14:paraId="40C92C3A" w14:textId="77777777" w:rsidTr="0011029F">
        <w:trPr>
          <w:trHeight w:val="2694"/>
        </w:trPr>
        <w:tc>
          <w:tcPr>
            <w:tcW w:w="1985" w:type="dxa"/>
            <w:shd w:val="clear" w:color="auto" w:fill="auto"/>
            <w:vAlign w:val="center"/>
          </w:tcPr>
          <w:p w14:paraId="1C1A3199" w14:textId="77777777" w:rsidR="000202E5" w:rsidRPr="003F685C" w:rsidRDefault="000202E5" w:rsidP="008449C2">
            <w:pPr>
              <w:snapToGrid w:val="0"/>
              <w:jc w:val="both"/>
            </w:pPr>
          </w:p>
          <w:p w14:paraId="3A755B27" w14:textId="4E0BD96F" w:rsidR="000202E5" w:rsidRPr="003F685C" w:rsidRDefault="008053E6" w:rsidP="00E86E29">
            <w:pPr>
              <w:jc w:val="both"/>
            </w:pPr>
            <w:r w:rsidRPr="003F685C">
              <w:rPr>
                <w:noProof/>
                <w:lang w:val="nl-NL" w:eastAsia="nl-NL" w:bidi="ar-SA"/>
              </w:rPr>
              <w:drawing>
                <wp:anchor distT="0" distB="0" distL="114300" distR="114300" simplePos="0" relativeHeight="251657728" behindDoc="0" locked="0" layoutInCell="1" allowOverlap="1" wp14:anchorId="5BAB155B" wp14:editId="4D5F2324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2540</wp:posOffset>
                  </wp:positionV>
                  <wp:extent cx="985520" cy="985520"/>
                  <wp:effectExtent l="0" t="0" r="5080" b="508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5" w:type="dxa"/>
            <w:gridSpan w:val="2"/>
            <w:shd w:val="clear" w:color="auto" w:fill="auto"/>
            <w:vAlign w:val="center"/>
          </w:tcPr>
          <w:p w14:paraId="23839ED6" w14:textId="3AC68CCD" w:rsidR="000202E5" w:rsidRPr="0011029F" w:rsidRDefault="00522E29" w:rsidP="0011029F">
            <w:pPr>
              <w:suppressAutoHyphens w:val="0"/>
              <w:spacing w:line="240" w:lineRule="auto"/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</w:pPr>
            <w:r w:rsidRPr="0011029F"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  <w:t>Les d</w:t>
            </w:r>
            <w:r w:rsidR="001F6F9E" w:rsidRPr="0011029F"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  <w:t xml:space="preserve">istributeurs en </w:t>
            </w:r>
            <w:r w:rsidRPr="0011029F"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  <w:t>b</w:t>
            </w:r>
            <w:r w:rsidR="001F6F9E" w:rsidRPr="0011029F"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  <w:t>oissons</w:t>
            </w:r>
            <w:r w:rsidRPr="0011029F"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  <w:t xml:space="preserve"> </w:t>
            </w:r>
            <w:r w:rsidR="00EC3506" w:rsidRPr="0011029F"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  <w:t>demandent</w:t>
            </w:r>
            <w:r w:rsidRPr="0011029F"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  <w:t xml:space="preserve"> des mesures urgentes</w:t>
            </w:r>
            <w:r w:rsidR="00A20379" w:rsidRPr="0011029F"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  <w:t>:</w:t>
            </w:r>
          </w:p>
          <w:p w14:paraId="6E147281" w14:textId="6DD6725D" w:rsidR="00A20379" w:rsidRPr="0011029F" w:rsidRDefault="00A20379" w:rsidP="0011029F">
            <w:pPr>
              <w:suppressAutoHyphens w:val="0"/>
              <w:spacing w:line="240" w:lineRule="auto"/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</w:pPr>
            <w:r w:rsidRPr="0011029F">
              <w:rPr>
                <w:rFonts w:eastAsiaTheme="minorHAnsi" w:cstheme="minorBidi"/>
                <w:b/>
                <w:bCs/>
                <w:kern w:val="0"/>
                <w:sz w:val="26"/>
                <w:szCs w:val="26"/>
                <w:lang w:val="nl-NL"/>
              </w:rPr>
              <w:t>“80 à 90% de notre chiffre d'affaires vient de l'horeca, qui est à l'arrêt depuis le 13 mars!"</w:t>
            </w:r>
          </w:p>
          <w:p w14:paraId="1200B916" w14:textId="1F24F4DE" w:rsidR="000202E5" w:rsidRPr="0011029F" w:rsidRDefault="000202E5" w:rsidP="0011029F">
            <w:pPr>
              <w:suppressAutoHyphens w:val="0"/>
              <w:spacing w:line="240" w:lineRule="auto"/>
              <w:jc w:val="right"/>
              <w:rPr>
                <w:rFonts w:eastAsiaTheme="minorHAnsi" w:cstheme="minorBidi"/>
                <w:kern w:val="0"/>
                <w:sz w:val="28"/>
                <w:szCs w:val="28"/>
                <w:lang w:val="nl-NL"/>
              </w:rPr>
            </w:pPr>
            <w:r w:rsidRPr="0011029F">
              <w:rPr>
                <w:rFonts w:eastAsiaTheme="minorHAnsi" w:cstheme="minorBidi"/>
                <w:kern w:val="0"/>
                <w:sz w:val="22"/>
                <w:szCs w:val="22"/>
                <w:lang w:val="nl-NL"/>
              </w:rPr>
              <w:t xml:space="preserve">Bruxelles, le </w:t>
            </w:r>
            <w:r w:rsidR="001F6F9E" w:rsidRPr="0011029F">
              <w:rPr>
                <w:rFonts w:eastAsiaTheme="minorHAnsi" w:cstheme="minorBidi"/>
                <w:kern w:val="0"/>
                <w:sz w:val="22"/>
                <w:szCs w:val="22"/>
                <w:lang w:val="nl-NL"/>
              </w:rPr>
              <w:t>28 mai</w:t>
            </w:r>
            <w:r w:rsidR="00A97A94" w:rsidRPr="0011029F">
              <w:rPr>
                <w:rFonts w:eastAsiaTheme="minorHAnsi" w:cstheme="minorBidi"/>
                <w:kern w:val="0"/>
                <w:sz w:val="22"/>
                <w:szCs w:val="22"/>
                <w:lang w:val="nl-NL"/>
              </w:rPr>
              <w:t xml:space="preserve"> 2020</w:t>
            </w:r>
          </w:p>
        </w:tc>
      </w:tr>
      <w:tr w:rsidR="001F6F9E" w:rsidRPr="003F685C" w14:paraId="129410C2" w14:textId="77777777" w:rsidTr="004202B7">
        <w:tc>
          <w:tcPr>
            <w:tcW w:w="9210" w:type="dxa"/>
            <w:gridSpan w:val="3"/>
            <w:shd w:val="clear" w:color="auto" w:fill="auto"/>
          </w:tcPr>
          <w:p w14:paraId="63969840" w14:textId="0911F012" w:rsidR="00EC3506" w:rsidRDefault="00EC3506" w:rsidP="005E2B0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Durant le lockdown, les magasins de boissons sont toujours restés ouverts dans notre pays, en tant que secteur essentiel, tout comme les supermarchés. Mais </w:t>
            </w:r>
            <w:r w:rsidR="005E2B08">
              <w:rPr>
                <w:b/>
                <w:sz w:val="20"/>
                <w:szCs w:val="20"/>
              </w:rPr>
              <w:t xml:space="preserve">ceux </w:t>
            </w:r>
            <w:r>
              <w:rPr>
                <w:b/>
                <w:sz w:val="20"/>
                <w:szCs w:val="20"/>
              </w:rPr>
              <w:t>qui pensai</w:t>
            </w:r>
            <w:r w:rsidR="005E2B08"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>t que leur chiffre d'affaire serait resté à niveau durant cette période s</w:t>
            </w:r>
            <w:r w:rsidR="005E2B08">
              <w:rPr>
                <w:b/>
                <w:sz w:val="20"/>
                <w:szCs w:val="20"/>
              </w:rPr>
              <w:t xml:space="preserve">e trompaient </w:t>
            </w:r>
            <w:r>
              <w:rPr>
                <w:b/>
                <w:sz w:val="20"/>
                <w:szCs w:val="20"/>
              </w:rPr>
              <w:t xml:space="preserve">lourdement. De nombreux distributeurs en boissons ont vu leurs ventes dégringoler du jour au lendemain à 10% ou 20% de leur niveau normal. "Nous réalisons 80% à 90% de notre chiffre d'affaires régulier grâce au secteur de l'horeca et de l'évènement, explique Guy Dewulf, directeur et porte-parole de FEBED, la Fédération Belge des Distributeurs en </w:t>
            </w:r>
            <w:r w:rsidRPr="00A20379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oissons. Et ces secteurs sont à l'arrêt depuis des mois maintenant. Les clients particuliers sont les bienvenus chez nous, nous sommes heureux de pouvoir encore compter sur eux. Mais ces revenus seuls ne permettent pas à nos négoces de boissons de vivre. Pour les distributeurs en boissons, la réouverture de l'horeca est dès lors aussi cruciale à leur survie qu'à celle du secteur horeca lui-même. Nous l'attendons avec impatience." Cependant,</w:t>
            </w:r>
            <w:r w:rsidRPr="00EC3506">
              <w:rPr>
                <w:b/>
                <w:sz w:val="20"/>
                <w:szCs w:val="20"/>
              </w:rPr>
              <w:t xml:space="preserve"> les problèmes des distributeurs </w:t>
            </w:r>
            <w:r>
              <w:rPr>
                <w:b/>
                <w:sz w:val="20"/>
                <w:szCs w:val="20"/>
              </w:rPr>
              <w:t>en</w:t>
            </w:r>
            <w:r w:rsidRPr="00EC3506">
              <w:rPr>
                <w:b/>
                <w:sz w:val="20"/>
                <w:szCs w:val="20"/>
              </w:rPr>
              <w:t xml:space="preserve"> boissons sont encore loin d’être résolus par cette relance espérée et des mesures de soutien supplémentaires sont nécessaires de toute urgence</w:t>
            </w:r>
            <w:r w:rsidR="005E2B08">
              <w:rPr>
                <w:b/>
                <w:sz w:val="20"/>
                <w:szCs w:val="20"/>
              </w:rPr>
              <w:t>.</w:t>
            </w:r>
          </w:p>
          <w:p w14:paraId="5D3AE9DE" w14:textId="6A9011DE" w:rsidR="001F6F9E" w:rsidRPr="005E2B08" w:rsidRDefault="00EC3506" w:rsidP="005E2B08">
            <w:pPr>
              <w:jc w:val="both"/>
              <w:rPr>
                <w:bCs/>
                <w:sz w:val="20"/>
                <w:szCs w:val="20"/>
              </w:rPr>
            </w:pPr>
            <w:r w:rsidRPr="005E2B08">
              <w:rPr>
                <w:bCs/>
                <w:sz w:val="20"/>
                <w:szCs w:val="20"/>
              </w:rPr>
              <w:t>Le</w:t>
            </w:r>
            <w:r w:rsidR="001F6F9E" w:rsidRPr="005E2B08">
              <w:rPr>
                <w:bCs/>
                <w:sz w:val="20"/>
                <w:szCs w:val="20"/>
              </w:rPr>
              <w:t xml:space="preserve"> chiffre d'affaires sera </w:t>
            </w:r>
            <w:r w:rsidR="005E2B08" w:rsidRPr="005E2B08">
              <w:rPr>
                <w:bCs/>
                <w:sz w:val="20"/>
                <w:szCs w:val="20"/>
              </w:rPr>
              <w:t xml:space="preserve">encore toujours </w:t>
            </w:r>
            <w:r w:rsidR="001F6F9E" w:rsidRPr="005E2B08">
              <w:rPr>
                <w:bCs/>
                <w:sz w:val="20"/>
                <w:szCs w:val="20"/>
              </w:rPr>
              <w:t xml:space="preserve">beaucoup plus bas qu'avant la crise </w:t>
            </w:r>
            <w:r w:rsidR="005E2B08" w:rsidRPr="005E2B08">
              <w:rPr>
                <w:bCs/>
                <w:sz w:val="20"/>
                <w:szCs w:val="20"/>
              </w:rPr>
              <w:t>c</w:t>
            </w:r>
            <w:r w:rsidR="001F6F9E" w:rsidRPr="005E2B08">
              <w:rPr>
                <w:bCs/>
                <w:sz w:val="20"/>
                <w:szCs w:val="20"/>
              </w:rPr>
              <w:t>orona et la reprise des produits périmés demandera énormément de travail et de moyens. C'est pourquoi des mesures de soutien spécifiques au secteur sont nécessaire</w:t>
            </w:r>
            <w:r w:rsidR="00F20740" w:rsidRPr="005E2B08">
              <w:rPr>
                <w:bCs/>
                <w:sz w:val="20"/>
                <w:szCs w:val="20"/>
              </w:rPr>
              <w:t>s</w:t>
            </w:r>
            <w:r w:rsidR="001F6F9E" w:rsidRPr="005E2B08">
              <w:rPr>
                <w:bCs/>
                <w:sz w:val="20"/>
                <w:szCs w:val="20"/>
              </w:rPr>
              <w:t xml:space="preserve"> pour surmonter cette période difficile et maintenir autant d'emplois que possible.</w:t>
            </w:r>
          </w:p>
          <w:p w14:paraId="47D12C16" w14:textId="77777777" w:rsidR="001F6F9E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</w:p>
          <w:p w14:paraId="6F959629" w14:textId="259EFC08" w:rsidR="001F6F9E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 xml:space="preserve">Les </w:t>
            </w:r>
            <w:r w:rsidR="003F685C" w:rsidRPr="00BC2DC4">
              <w:rPr>
                <w:szCs w:val="20"/>
                <w:lang w:val="fr-FR"/>
              </w:rPr>
              <w:t xml:space="preserve">distributeurs </w:t>
            </w:r>
            <w:r w:rsidRPr="00BC2DC4">
              <w:rPr>
                <w:szCs w:val="20"/>
                <w:lang w:val="fr-FR"/>
              </w:rPr>
              <w:t xml:space="preserve">en </w:t>
            </w:r>
            <w:r w:rsidR="003F685C" w:rsidRPr="00BC2DC4">
              <w:rPr>
                <w:szCs w:val="20"/>
                <w:lang w:val="fr-FR"/>
              </w:rPr>
              <w:t>boissons</w:t>
            </w:r>
            <w:r w:rsidRPr="00BC2DC4">
              <w:rPr>
                <w:szCs w:val="20"/>
                <w:lang w:val="fr-FR"/>
              </w:rPr>
              <w:t xml:space="preserve"> belges réalisent </w:t>
            </w:r>
            <w:r w:rsidR="003F685C" w:rsidRPr="00BC2DC4">
              <w:rPr>
                <w:szCs w:val="20"/>
                <w:lang w:val="fr-FR"/>
              </w:rPr>
              <w:t>principalement</w:t>
            </w:r>
            <w:r w:rsidRPr="00BC2DC4">
              <w:rPr>
                <w:szCs w:val="20"/>
                <w:lang w:val="fr-FR"/>
              </w:rPr>
              <w:t xml:space="preserve"> leur chiffre d'affaires dans l'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. Pour la plupart des </w:t>
            </w:r>
            <w:r w:rsidR="0011029F">
              <w:rPr>
                <w:szCs w:val="20"/>
                <w:lang w:val="fr-FR"/>
              </w:rPr>
              <w:t>distributeurs en boissons</w:t>
            </w:r>
            <w:r w:rsidRPr="00BC2DC4">
              <w:rPr>
                <w:szCs w:val="20"/>
                <w:lang w:val="fr-FR"/>
              </w:rPr>
              <w:t>, l'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 représente 80 à 90% de leur chiffre d'affaires, voire 100% pour certains</w:t>
            </w:r>
            <w:r w:rsidR="0011029F">
              <w:rPr>
                <w:szCs w:val="20"/>
                <w:lang w:val="fr-FR"/>
              </w:rPr>
              <w:t xml:space="preserve"> d'entre eux</w:t>
            </w:r>
            <w:r w:rsidRPr="00BC2DC4">
              <w:rPr>
                <w:szCs w:val="20"/>
                <w:lang w:val="fr-FR"/>
              </w:rPr>
              <w:t xml:space="preserve">. Bien que les distributeurs en boissons </w:t>
            </w:r>
            <w:r w:rsidR="00F20740" w:rsidRPr="00BC2DC4">
              <w:rPr>
                <w:szCs w:val="20"/>
                <w:lang w:val="fr-FR"/>
              </w:rPr>
              <w:t>fassent partie des</w:t>
            </w:r>
            <w:r w:rsidRPr="00BC2DC4">
              <w:rPr>
                <w:szCs w:val="20"/>
                <w:lang w:val="fr-FR"/>
              </w:rPr>
              <w:t xml:space="preserve"> activités essentielles, l'impact</w:t>
            </w:r>
            <w:r w:rsidR="003F685C" w:rsidRPr="00BC2DC4">
              <w:rPr>
                <w:szCs w:val="20"/>
                <w:lang w:val="fr-FR"/>
              </w:rPr>
              <w:t xml:space="preserve"> </w:t>
            </w:r>
            <w:r w:rsidRPr="00BC2DC4">
              <w:rPr>
                <w:szCs w:val="20"/>
                <w:lang w:val="fr-FR"/>
              </w:rPr>
              <w:t xml:space="preserve">des mesures prises pour lutter contre la propagation du Covid-19 est énorme pour eux. Le chiffre d'affaires réalisé auprès des clients 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 est réduit à néant</w:t>
            </w:r>
          </w:p>
          <w:p w14:paraId="7B5F2D1D" w14:textId="77777777" w:rsidR="001F6F9E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</w:p>
          <w:p w14:paraId="66C37ADB" w14:textId="393AE880" w:rsidR="00342B56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>Le secteur attend avec impatience la réouverture de l'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 et prend toutes les mesures pour que les livraisons se fassent de manière sure. Le guide sectoriel prévoit une série de mesures qui permettront </w:t>
            </w:r>
            <w:r w:rsidR="00342B56" w:rsidRPr="00BC2DC4">
              <w:rPr>
                <w:szCs w:val="20"/>
                <w:lang w:val="fr-FR"/>
              </w:rPr>
              <w:t>aux distributeurs en boissons d'effectuer tant leurs activités dans leurs centres de distribution que les livraisons chez les clients de manière sure. Les mesures que chaque établissement</w:t>
            </w:r>
            <w:r w:rsidR="003F685C" w:rsidRPr="00BC2DC4">
              <w:rPr>
                <w:szCs w:val="20"/>
                <w:lang w:val="fr-FR"/>
              </w:rPr>
              <w:t xml:space="preserve"> </w:t>
            </w:r>
            <w:r w:rsidR="005E2B08">
              <w:rPr>
                <w:szCs w:val="20"/>
                <w:lang w:val="fr-FR"/>
              </w:rPr>
              <w:t>horeca</w:t>
            </w:r>
            <w:r w:rsidR="00342B56" w:rsidRPr="00BC2DC4">
              <w:rPr>
                <w:szCs w:val="20"/>
                <w:lang w:val="fr-FR"/>
              </w:rPr>
              <w:t xml:space="preserve"> instaurera seront strictement respectées.</w:t>
            </w:r>
          </w:p>
          <w:p w14:paraId="39E3A11D" w14:textId="77777777" w:rsidR="001F6F9E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</w:p>
          <w:p w14:paraId="6CA8A15C" w14:textId="1B6FBC6A" w:rsidR="001F6F9E" w:rsidRPr="00BC2DC4" w:rsidRDefault="00342B56" w:rsidP="005E2B08">
            <w:pPr>
              <w:pStyle w:val="Textebrut"/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>La réouverture de l'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 ne signifie pas, pour les distributeurs en boissons, que tous les problèmes seront résolus et qu'ils reviendront à la situation d'avant la crise </w:t>
            </w:r>
            <w:r w:rsidR="005E2B08">
              <w:rPr>
                <w:szCs w:val="20"/>
                <w:lang w:val="fr-FR"/>
              </w:rPr>
              <w:t>corona</w:t>
            </w:r>
            <w:r w:rsidRPr="00BC2DC4">
              <w:rPr>
                <w:szCs w:val="20"/>
                <w:lang w:val="fr-FR"/>
              </w:rPr>
              <w:t xml:space="preserve">. Les mesures qui seront prises, nécessaires pour limiter la propagation du Covid-19, limitera la capacité des établissements 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. La confiance du consommateur devra être rétablie. Tout cela conduit à un chiffre d'affaires beaucoup plus faible qu'avant la crise </w:t>
            </w:r>
            <w:r w:rsidR="005E2B08">
              <w:rPr>
                <w:szCs w:val="20"/>
                <w:lang w:val="fr-FR"/>
              </w:rPr>
              <w:t>corona</w:t>
            </w:r>
            <w:r w:rsidRPr="00BC2DC4">
              <w:rPr>
                <w:szCs w:val="20"/>
                <w:lang w:val="fr-FR"/>
              </w:rPr>
              <w:t>.</w:t>
            </w:r>
            <w:r w:rsidR="003F685C" w:rsidRPr="00BC2DC4">
              <w:rPr>
                <w:szCs w:val="20"/>
                <w:lang w:val="fr-FR"/>
              </w:rPr>
              <w:t xml:space="preserve"> </w:t>
            </w:r>
            <w:r w:rsidRPr="00BC2DC4">
              <w:rPr>
                <w:szCs w:val="20"/>
                <w:lang w:val="fr-FR"/>
              </w:rPr>
              <w:t>Estimation du chiffre d'affaires après réouverture</w:t>
            </w:r>
            <w:r w:rsidR="001F6F9E" w:rsidRPr="00BC2DC4">
              <w:rPr>
                <w:szCs w:val="20"/>
                <w:lang w:val="fr-FR"/>
              </w:rPr>
              <w:t>:</w:t>
            </w:r>
          </w:p>
          <w:p w14:paraId="5E4C309D" w14:textId="6C595E35" w:rsidR="00342B56" w:rsidRPr="00BC2DC4" w:rsidRDefault="00342B56" w:rsidP="005E2B08">
            <w:pPr>
              <w:pStyle w:val="Textebrut"/>
              <w:numPr>
                <w:ilvl w:val="0"/>
                <w:numId w:val="3"/>
              </w:numPr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>1</w:t>
            </w:r>
            <w:r w:rsidRPr="00BC2DC4">
              <w:rPr>
                <w:szCs w:val="20"/>
                <w:vertAlign w:val="superscript"/>
                <w:lang w:val="fr-FR"/>
              </w:rPr>
              <w:t>er</w:t>
            </w:r>
            <w:r w:rsidR="00BC2DC4" w:rsidRPr="00BC2DC4">
              <w:rPr>
                <w:szCs w:val="20"/>
                <w:lang w:val="fr-FR"/>
              </w:rPr>
              <w:t xml:space="preserve"> </w:t>
            </w:r>
            <w:r w:rsidRPr="00BC2DC4">
              <w:rPr>
                <w:szCs w:val="20"/>
                <w:lang w:val="fr-FR"/>
              </w:rPr>
              <w:t>mois: 30%</w:t>
            </w:r>
          </w:p>
          <w:p w14:paraId="2BF1D7FE" w14:textId="594FA9D1" w:rsidR="00342B56" w:rsidRPr="00BC2DC4" w:rsidRDefault="00342B56" w:rsidP="005E2B08">
            <w:pPr>
              <w:pStyle w:val="Textebrut"/>
              <w:numPr>
                <w:ilvl w:val="0"/>
                <w:numId w:val="3"/>
              </w:numPr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>2</w:t>
            </w:r>
            <w:r w:rsidRPr="00BC2DC4">
              <w:rPr>
                <w:szCs w:val="20"/>
                <w:vertAlign w:val="superscript"/>
                <w:lang w:val="fr-FR"/>
              </w:rPr>
              <w:t>ème</w:t>
            </w:r>
            <w:r w:rsidR="00BC2DC4" w:rsidRPr="00BC2DC4">
              <w:rPr>
                <w:szCs w:val="20"/>
                <w:lang w:val="fr-FR"/>
              </w:rPr>
              <w:t xml:space="preserve"> </w:t>
            </w:r>
            <w:r w:rsidRPr="00BC2DC4">
              <w:rPr>
                <w:szCs w:val="20"/>
                <w:lang w:val="fr-FR"/>
              </w:rPr>
              <w:t>mois: 40%</w:t>
            </w:r>
          </w:p>
          <w:p w14:paraId="77F806C2" w14:textId="127D77A0" w:rsidR="00342B56" w:rsidRPr="00BC2DC4" w:rsidRDefault="00342B56" w:rsidP="005E2B08">
            <w:pPr>
              <w:pStyle w:val="Textebrut"/>
              <w:numPr>
                <w:ilvl w:val="0"/>
                <w:numId w:val="3"/>
              </w:numPr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>3</w:t>
            </w:r>
            <w:r w:rsidRPr="00BC2DC4">
              <w:rPr>
                <w:szCs w:val="20"/>
                <w:vertAlign w:val="superscript"/>
                <w:lang w:val="fr-FR"/>
              </w:rPr>
              <w:t>ème</w:t>
            </w:r>
            <w:r w:rsidR="00BC2DC4" w:rsidRPr="00BC2DC4">
              <w:rPr>
                <w:szCs w:val="20"/>
                <w:lang w:val="fr-FR"/>
              </w:rPr>
              <w:t xml:space="preserve"> </w:t>
            </w:r>
            <w:r w:rsidRPr="00BC2DC4">
              <w:rPr>
                <w:szCs w:val="20"/>
                <w:lang w:val="fr-FR"/>
              </w:rPr>
              <w:t>au 6</w:t>
            </w:r>
            <w:r w:rsidRPr="00BC2DC4">
              <w:rPr>
                <w:szCs w:val="20"/>
                <w:vertAlign w:val="superscript"/>
                <w:lang w:val="fr-FR"/>
              </w:rPr>
              <w:t>ème</w:t>
            </w:r>
            <w:r w:rsidR="00BC2DC4" w:rsidRPr="00BC2DC4">
              <w:rPr>
                <w:szCs w:val="20"/>
                <w:lang w:val="fr-FR"/>
              </w:rPr>
              <w:t xml:space="preserve"> </w:t>
            </w:r>
            <w:r w:rsidRPr="00BC2DC4">
              <w:rPr>
                <w:szCs w:val="20"/>
                <w:lang w:val="fr-FR"/>
              </w:rPr>
              <w:t>mois: 50%</w:t>
            </w:r>
          </w:p>
          <w:p w14:paraId="0128385E" w14:textId="77777777" w:rsidR="00342B56" w:rsidRPr="00BC2DC4" w:rsidRDefault="00342B56" w:rsidP="005E2B08">
            <w:pPr>
              <w:pStyle w:val="Textebrut"/>
              <w:numPr>
                <w:ilvl w:val="0"/>
                <w:numId w:val="3"/>
              </w:numPr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>Moyenne des 6 premiers mois: 45%</w:t>
            </w:r>
          </w:p>
          <w:p w14:paraId="16566CEF" w14:textId="41457FE7" w:rsidR="00342B56" w:rsidRPr="00BC2DC4" w:rsidRDefault="00342B56" w:rsidP="005E2B08">
            <w:pPr>
              <w:pStyle w:val="Textebrut"/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 xml:space="preserve">Le secteur 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 aura besoin de soutien supplémentaire pour surmonter cette période.</w:t>
            </w:r>
          </w:p>
          <w:p w14:paraId="1222A31C" w14:textId="04587AD5" w:rsidR="001F6F9E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</w:p>
          <w:p w14:paraId="1A9F59BD" w14:textId="555D620C" w:rsidR="005D5781" w:rsidRPr="00BC2DC4" w:rsidRDefault="00342B56" w:rsidP="005E2B08">
            <w:pPr>
              <w:pStyle w:val="Corpsdetexte"/>
              <w:jc w:val="both"/>
              <w:rPr>
                <w:sz w:val="20"/>
                <w:szCs w:val="20"/>
              </w:rPr>
            </w:pPr>
            <w:r w:rsidRPr="00BC2DC4">
              <w:rPr>
                <w:sz w:val="20"/>
                <w:szCs w:val="20"/>
              </w:rPr>
              <w:t xml:space="preserve">Les distributeurs en boissons aussi ont besoin de mesures de soutien spécifiques. </w:t>
            </w:r>
            <w:r w:rsidR="005D5781" w:rsidRPr="00BC2DC4">
              <w:rPr>
                <w:sz w:val="20"/>
                <w:szCs w:val="20"/>
              </w:rPr>
              <w:t xml:space="preserve">En plus de la baisse du chiffre d'affaires et de la diminution de la taille des commandes, les distributeurs en boissons devront supporter des couts élevés pour échanger gratuitement les </w:t>
            </w:r>
            <w:r w:rsidR="003F685C" w:rsidRPr="00BC2DC4">
              <w:rPr>
                <w:sz w:val="20"/>
                <w:szCs w:val="20"/>
              </w:rPr>
              <w:t>produits</w:t>
            </w:r>
            <w:r w:rsidR="005D5781" w:rsidRPr="00BC2DC4">
              <w:rPr>
                <w:sz w:val="20"/>
                <w:szCs w:val="20"/>
              </w:rPr>
              <w:t xml:space="preserve"> dont la date de péremption a été atteinte durant la période de fermeture de l'</w:t>
            </w:r>
            <w:r w:rsidR="005E2B08">
              <w:rPr>
                <w:sz w:val="20"/>
                <w:szCs w:val="20"/>
              </w:rPr>
              <w:t>horeca</w:t>
            </w:r>
            <w:r w:rsidR="005D5781" w:rsidRPr="00BC2DC4">
              <w:rPr>
                <w:sz w:val="20"/>
                <w:szCs w:val="20"/>
              </w:rPr>
              <w:t xml:space="preserve">. </w:t>
            </w:r>
          </w:p>
          <w:p w14:paraId="072CEBA9" w14:textId="70792E26" w:rsidR="005D5781" w:rsidRPr="00BC2DC4" w:rsidRDefault="005D5781" w:rsidP="005E2B08">
            <w:pPr>
              <w:pStyle w:val="Corpsdetexte"/>
              <w:jc w:val="both"/>
              <w:rPr>
                <w:sz w:val="20"/>
                <w:szCs w:val="20"/>
              </w:rPr>
            </w:pPr>
            <w:r w:rsidRPr="00BC2DC4">
              <w:rPr>
                <w:sz w:val="20"/>
                <w:szCs w:val="20"/>
              </w:rPr>
              <w:t>Les distributeurs en boissons sont un secteur à fort coefficient de main d'œuvre. Les livraisons à l'</w:t>
            </w:r>
            <w:r w:rsidR="005E2B08">
              <w:rPr>
                <w:sz w:val="20"/>
                <w:szCs w:val="20"/>
              </w:rPr>
              <w:t>horeca</w:t>
            </w:r>
            <w:r w:rsidRPr="00BC2DC4">
              <w:rPr>
                <w:sz w:val="20"/>
                <w:szCs w:val="20"/>
              </w:rPr>
              <w:t xml:space="preserve"> se font souvent avec 2 personnes. En tant que secteur, nous demandons des mesures de </w:t>
            </w:r>
            <w:r w:rsidR="003F685C" w:rsidRPr="00BC2DC4">
              <w:rPr>
                <w:sz w:val="20"/>
                <w:szCs w:val="20"/>
              </w:rPr>
              <w:t>soutien</w:t>
            </w:r>
            <w:r w:rsidRPr="00BC2DC4">
              <w:rPr>
                <w:sz w:val="20"/>
                <w:szCs w:val="20"/>
              </w:rPr>
              <w:t xml:space="preserve"> pour baisser temporairement ce </w:t>
            </w:r>
            <w:r w:rsidR="00A20379" w:rsidRPr="00BC2DC4">
              <w:rPr>
                <w:sz w:val="20"/>
                <w:szCs w:val="20"/>
              </w:rPr>
              <w:t>co</w:t>
            </w:r>
            <w:r w:rsidR="00A20379">
              <w:rPr>
                <w:sz w:val="20"/>
                <w:szCs w:val="20"/>
              </w:rPr>
              <w:t>u</w:t>
            </w:r>
            <w:r w:rsidR="00A20379" w:rsidRPr="00A20379">
              <w:rPr>
                <w:sz w:val="20"/>
                <w:szCs w:val="20"/>
              </w:rPr>
              <w:t>t</w:t>
            </w:r>
            <w:r w:rsidRPr="00BC2DC4">
              <w:rPr>
                <w:sz w:val="20"/>
                <w:szCs w:val="20"/>
              </w:rPr>
              <w:t xml:space="preserve"> du travail afin de pouvoir maintenir autant de personnes que possibles au travail.</w:t>
            </w:r>
          </w:p>
          <w:p w14:paraId="619B62D5" w14:textId="577B229F" w:rsidR="005D5781" w:rsidRPr="00BC2DC4" w:rsidRDefault="005D5781" w:rsidP="005E2B08">
            <w:pPr>
              <w:pStyle w:val="Corpsdetexte"/>
              <w:jc w:val="both"/>
              <w:rPr>
                <w:sz w:val="20"/>
                <w:szCs w:val="20"/>
              </w:rPr>
            </w:pPr>
            <w:r w:rsidRPr="00BC2DC4">
              <w:rPr>
                <w:sz w:val="20"/>
                <w:szCs w:val="20"/>
              </w:rPr>
              <w:lastRenderedPageBreak/>
              <w:t>Afin d'éviter un bain de sang, nous demandons les mesures suivantes:</w:t>
            </w:r>
          </w:p>
          <w:p w14:paraId="01DDE82B" w14:textId="77777777" w:rsidR="001F6F9E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</w:p>
          <w:p w14:paraId="39206A8D" w14:textId="7D81EC00" w:rsidR="001F6F9E" w:rsidRPr="00BC2DC4" w:rsidRDefault="005D5781" w:rsidP="005E2B08">
            <w:pPr>
              <w:pStyle w:val="Textebrut"/>
              <w:jc w:val="both"/>
              <w:rPr>
                <w:b/>
                <w:szCs w:val="20"/>
                <w:lang w:val="fr-FR"/>
              </w:rPr>
            </w:pPr>
            <w:r w:rsidRPr="00BC2DC4">
              <w:rPr>
                <w:b/>
                <w:szCs w:val="20"/>
                <w:lang w:val="fr-FR"/>
              </w:rPr>
              <w:t>Aux Autorités Fédérales</w:t>
            </w:r>
            <w:r w:rsidR="001F6F9E" w:rsidRPr="00BC2DC4">
              <w:rPr>
                <w:b/>
                <w:szCs w:val="20"/>
                <w:lang w:val="fr-FR"/>
              </w:rPr>
              <w:t>:</w:t>
            </w:r>
          </w:p>
          <w:p w14:paraId="54F1B30D" w14:textId="73EC65AE" w:rsidR="005D5781" w:rsidRPr="00BC2DC4" w:rsidRDefault="005D5781" w:rsidP="005E2B08">
            <w:pPr>
              <w:pStyle w:val="Textebrut"/>
              <w:numPr>
                <w:ilvl w:val="0"/>
                <w:numId w:val="3"/>
              </w:numPr>
              <w:jc w:val="both"/>
              <w:rPr>
                <w:szCs w:val="20"/>
                <w:lang w:val="fr-FR"/>
              </w:rPr>
            </w:pPr>
            <w:r w:rsidRPr="00BC2DC4">
              <w:rPr>
                <w:b/>
                <w:bCs/>
                <w:szCs w:val="20"/>
                <w:lang w:val="fr-FR"/>
              </w:rPr>
              <w:t xml:space="preserve">Prolongation </w:t>
            </w:r>
            <w:r w:rsidRPr="00BC2DC4">
              <w:rPr>
                <w:szCs w:val="20"/>
                <w:lang w:val="fr-FR"/>
              </w:rPr>
              <w:t xml:space="preserve">du régime du </w:t>
            </w:r>
            <w:r w:rsidR="005E2B08" w:rsidRPr="005E2B08">
              <w:rPr>
                <w:b/>
                <w:bCs/>
                <w:szCs w:val="20"/>
                <w:lang w:val="fr-FR"/>
              </w:rPr>
              <w:t>c</w:t>
            </w:r>
            <w:r w:rsidRPr="00BC2DC4">
              <w:rPr>
                <w:b/>
                <w:bCs/>
                <w:szCs w:val="20"/>
                <w:lang w:val="fr-FR"/>
              </w:rPr>
              <w:t xml:space="preserve">hômage temporaire pour </w:t>
            </w:r>
            <w:r w:rsidR="005E2B08">
              <w:rPr>
                <w:b/>
                <w:bCs/>
                <w:szCs w:val="20"/>
                <w:lang w:val="fr-FR"/>
              </w:rPr>
              <w:t>f</w:t>
            </w:r>
            <w:r w:rsidRPr="00BC2DC4">
              <w:rPr>
                <w:b/>
                <w:bCs/>
                <w:szCs w:val="20"/>
                <w:lang w:val="fr-FR"/>
              </w:rPr>
              <w:t>orce majeure</w:t>
            </w:r>
            <w:r w:rsidRPr="00BC2DC4">
              <w:rPr>
                <w:szCs w:val="20"/>
                <w:lang w:val="fr-FR"/>
              </w:rPr>
              <w:t xml:space="preserve"> pour la période où le secteur</w:t>
            </w:r>
            <w:r w:rsidR="003F685C" w:rsidRPr="00BC2DC4">
              <w:rPr>
                <w:szCs w:val="20"/>
                <w:lang w:val="fr-FR"/>
              </w:rPr>
              <w:t xml:space="preserve"> 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 ne peut pas encore travailler à pleine capacité et n'a pas pu atteindre son chiffre d'affaires d'avant la crise </w:t>
            </w:r>
            <w:r w:rsidR="005E2B08">
              <w:rPr>
                <w:szCs w:val="20"/>
                <w:lang w:val="fr-FR"/>
              </w:rPr>
              <w:t>corona</w:t>
            </w:r>
            <w:r w:rsidRPr="00BC2DC4">
              <w:rPr>
                <w:szCs w:val="20"/>
                <w:lang w:val="fr-FR"/>
              </w:rPr>
              <w:t xml:space="preserve">. Avec un chiffre d'affaires moyen de 45% durant les six premiers mois, </w:t>
            </w:r>
            <w:r w:rsidR="003F685C" w:rsidRPr="00BC2DC4">
              <w:rPr>
                <w:szCs w:val="20"/>
                <w:lang w:val="fr-FR"/>
              </w:rPr>
              <w:t>tous</w:t>
            </w:r>
            <w:r w:rsidRPr="00BC2DC4">
              <w:rPr>
                <w:szCs w:val="20"/>
                <w:lang w:val="fr-FR"/>
              </w:rPr>
              <w:t xml:space="preserve"> les travailleurs ne pourront pas êt</w:t>
            </w:r>
            <w:r w:rsidR="00A973D7">
              <w:rPr>
                <w:szCs w:val="20"/>
                <w:lang w:val="fr-FR"/>
              </w:rPr>
              <w:t>r</w:t>
            </w:r>
            <w:r w:rsidRPr="00BC2DC4">
              <w:rPr>
                <w:szCs w:val="20"/>
                <w:lang w:val="fr-FR"/>
              </w:rPr>
              <w:t>e maintenus à temps plein.</w:t>
            </w:r>
          </w:p>
          <w:p w14:paraId="64637CA3" w14:textId="32FEE854" w:rsidR="003F685C" w:rsidRPr="00BC2DC4" w:rsidRDefault="005D5781" w:rsidP="005E2B08">
            <w:pPr>
              <w:pStyle w:val="Textebrut"/>
              <w:numPr>
                <w:ilvl w:val="0"/>
                <w:numId w:val="3"/>
              </w:numPr>
              <w:jc w:val="both"/>
              <w:rPr>
                <w:szCs w:val="20"/>
                <w:lang w:val="fr-FR"/>
              </w:rPr>
            </w:pPr>
            <w:r w:rsidRPr="00BC2DC4">
              <w:rPr>
                <w:b/>
                <w:szCs w:val="20"/>
                <w:lang w:val="fr-FR"/>
              </w:rPr>
              <w:t>Réduction de la cotisation ONSS pour les travailleurs</w:t>
            </w:r>
            <w:r w:rsidRPr="00BC2DC4">
              <w:rPr>
                <w:bCs/>
                <w:szCs w:val="20"/>
                <w:lang w:val="fr-FR"/>
              </w:rPr>
              <w:t xml:space="preserve">. La productivité des travailleurs sera </w:t>
            </w:r>
            <w:r w:rsidR="003F685C" w:rsidRPr="00BC2DC4">
              <w:rPr>
                <w:bCs/>
                <w:szCs w:val="20"/>
                <w:lang w:val="fr-FR"/>
              </w:rPr>
              <w:t>beaucoup</w:t>
            </w:r>
            <w:r w:rsidRPr="00BC2DC4">
              <w:rPr>
                <w:bCs/>
                <w:szCs w:val="20"/>
                <w:lang w:val="fr-FR"/>
              </w:rPr>
              <w:t xml:space="preserve"> plus basse en raison des commandes plus petites et de la reprise des produits périmés. Les temps de conduite journaliers augmenteront, ce qui fera </w:t>
            </w:r>
            <w:r w:rsidR="003F685C" w:rsidRPr="00BC2DC4">
              <w:rPr>
                <w:bCs/>
                <w:szCs w:val="20"/>
                <w:lang w:val="fr-FR"/>
              </w:rPr>
              <w:t>augmenter</w:t>
            </w:r>
            <w:r w:rsidRPr="00BC2DC4">
              <w:rPr>
                <w:bCs/>
                <w:szCs w:val="20"/>
                <w:lang w:val="fr-FR"/>
              </w:rPr>
              <w:t xml:space="preserve"> le nombre d'</w:t>
            </w:r>
            <w:r w:rsidR="003F685C" w:rsidRPr="00BC2DC4">
              <w:rPr>
                <w:bCs/>
                <w:szCs w:val="20"/>
                <w:lang w:val="fr-FR"/>
              </w:rPr>
              <w:t>heures</w:t>
            </w:r>
            <w:r w:rsidRPr="00BC2DC4">
              <w:rPr>
                <w:bCs/>
                <w:szCs w:val="20"/>
                <w:lang w:val="fr-FR"/>
              </w:rPr>
              <w:t xml:space="preserve"> </w:t>
            </w:r>
            <w:r w:rsidR="003F685C" w:rsidRPr="00BC2DC4">
              <w:rPr>
                <w:bCs/>
                <w:szCs w:val="20"/>
                <w:lang w:val="fr-FR"/>
              </w:rPr>
              <w:t>non productives. Une réduction des cotisations ONSS signifie un soutien financier important pour les entreprises de notre secteur. Ici aussi, l'alignement avec les secteurs de l'</w:t>
            </w:r>
            <w:r w:rsidR="005E2B08">
              <w:rPr>
                <w:bCs/>
                <w:szCs w:val="20"/>
                <w:lang w:val="fr-FR"/>
              </w:rPr>
              <w:t>horeca</w:t>
            </w:r>
            <w:r w:rsidR="003F685C" w:rsidRPr="00BC2DC4">
              <w:rPr>
                <w:bCs/>
                <w:szCs w:val="20"/>
                <w:lang w:val="fr-FR"/>
              </w:rPr>
              <w:t xml:space="preserve"> et de l'</w:t>
            </w:r>
            <w:r w:rsidR="005E2B08">
              <w:rPr>
                <w:bCs/>
                <w:szCs w:val="20"/>
                <w:lang w:val="fr-FR"/>
              </w:rPr>
              <w:t>é</w:t>
            </w:r>
            <w:r w:rsidR="003F685C" w:rsidRPr="00BC2DC4">
              <w:rPr>
                <w:bCs/>
                <w:szCs w:val="20"/>
                <w:lang w:val="fr-FR"/>
              </w:rPr>
              <w:t>vènementiel est souhaitable, tant en ce qui concerne le montant que la période.</w:t>
            </w:r>
          </w:p>
          <w:p w14:paraId="73F5B67D" w14:textId="77777777" w:rsidR="001F6F9E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</w:p>
          <w:p w14:paraId="3466D0FF" w14:textId="7F136071" w:rsidR="001F6F9E" w:rsidRPr="00BC2DC4" w:rsidRDefault="005D5781" w:rsidP="005E2B08">
            <w:pPr>
              <w:pStyle w:val="Textebrut"/>
              <w:jc w:val="both"/>
              <w:rPr>
                <w:b/>
                <w:szCs w:val="20"/>
                <w:lang w:val="fr-FR"/>
              </w:rPr>
            </w:pPr>
            <w:r w:rsidRPr="00BC2DC4">
              <w:rPr>
                <w:b/>
                <w:szCs w:val="20"/>
                <w:lang w:val="fr-FR"/>
              </w:rPr>
              <w:t>Aux Autorités Régionales</w:t>
            </w:r>
            <w:r w:rsidR="001F6F9E" w:rsidRPr="00BC2DC4">
              <w:rPr>
                <w:b/>
                <w:szCs w:val="20"/>
                <w:lang w:val="fr-FR"/>
              </w:rPr>
              <w:t>:</w:t>
            </w:r>
          </w:p>
          <w:p w14:paraId="676C9C94" w14:textId="0995D893" w:rsidR="001F6F9E" w:rsidRPr="00BC2DC4" w:rsidRDefault="003F685C" w:rsidP="005E2B08">
            <w:pPr>
              <w:pStyle w:val="Textebrut"/>
              <w:ind w:left="720"/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 xml:space="preserve">Dans toutes les régions existe une forme de </w:t>
            </w:r>
            <w:r w:rsidRPr="005E2B08">
              <w:rPr>
                <w:b/>
                <w:bCs/>
                <w:szCs w:val="20"/>
                <w:lang w:val="fr-FR"/>
              </w:rPr>
              <w:t>'</w:t>
            </w:r>
            <w:r w:rsidR="005E2B08" w:rsidRPr="005E2B08">
              <w:rPr>
                <w:b/>
                <w:bCs/>
                <w:szCs w:val="20"/>
                <w:lang w:val="fr-FR"/>
              </w:rPr>
              <w:t>p</w:t>
            </w:r>
            <w:r w:rsidRPr="005E2B08">
              <w:rPr>
                <w:b/>
                <w:bCs/>
                <w:szCs w:val="20"/>
                <w:lang w:val="fr-FR"/>
              </w:rPr>
              <w:t>rime</w:t>
            </w:r>
            <w:r w:rsidRPr="00BC2DC4">
              <w:rPr>
                <w:b/>
                <w:bCs/>
                <w:szCs w:val="20"/>
                <w:lang w:val="fr-FR"/>
              </w:rPr>
              <w:t xml:space="preserve"> compensatoire</w:t>
            </w:r>
            <w:r w:rsidRPr="00BC2DC4">
              <w:rPr>
                <w:szCs w:val="20"/>
                <w:lang w:val="fr-FR"/>
              </w:rPr>
              <w:t xml:space="preserve">' pour les entreprises qui ont vu leur chiffre d'affaires baisser fortement en raison des mesures </w:t>
            </w:r>
            <w:r w:rsidR="005E2B08">
              <w:rPr>
                <w:szCs w:val="20"/>
                <w:lang w:val="fr-FR"/>
              </w:rPr>
              <w:t>corona</w:t>
            </w:r>
            <w:r w:rsidRPr="00BC2DC4">
              <w:rPr>
                <w:szCs w:val="20"/>
                <w:lang w:val="fr-FR"/>
              </w:rPr>
              <w:t>. À l'heure actuelle c'est une prime unique. FEBED demande que cette prime soit élargi par une indemnité journalière pour la période de fermeture de l'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, et qu'ensuite elle soit progressivement diminué à mesure que la capacité des établissement </w:t>
            </w:r>
            <w:r w:rsidR="005E2B08">
              <w:rPr>
                <w:szCs w:val="20"/>
                <w:lang w:val="fr-FR"/>
              </w:rPr>
              <w:t>horeca</w:t>
            </w:r>
            <w:r w:rsidRPr="00BC2DC4">
              <w:rPr>
                <w:szCs w:val="20"/>
                <w:lang w:val="fr-FR"/>
              </w:rPr>
              <w:t xml:space="preserve"> augmente.</w:t>
            </w:r>
            <w:r w:rsidR="001F6F9E" w:rsidRPr="00BC2DC4">
              <w:rPr>
                <w:szCs w:val="20"/>
                <w:lang w:val="fr-FR"/>
              </w:rPr>
              <w:t xml:space="preserve"> </w:t>
            </w:r>
          </w:p>
          <w:p w14:paraId="4CBFC0B7" w14:textId="77777777" w:rsidR="001F6F9E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</w:p>
          <w:p w14:paraId="5DCC5A25" w14:textId="6FDC9882" w:rsidR="005D5781" w:rsidRPr="00BC2DC4" w:rsidRDefault="005D5781" w:rsidP="005E2B08">
            <w:pPr>
              <w:pStyle w:val="Corpsdetexte"/>
              <w:jc w:val="both"/>
              <w:rPr>
                <w:sz w:val="20"/>
                <w:szCs w:val="20"/>
              </w:rPr>
            </w:pPr>
            <w:r w:rsidRPr="00BC2DC4">
              <w:rPr>
                <w:sz w:val="20"/>
                <w:szCs w:val="20"/>
              </w:rPr>
              <w:t xml:space="preserve">Notre secteur est étroitement lié au secteur </w:t>
            </w:r>
            <w:r w:rsidR="005E2B08">
              <w:rPr>
                <w:sz w:val="20"/>
                <w:szCs w:val="20"/>
              </w:rPr>
              <w:t>horeca</w:t>
            </w:r>
            <w:r w:rsidRPr="00BC2DC4">
              <w:rPr>
                <w:sz w:val="20"/>
                <w:szCs w:val="20"/>
              </w:rPr>
              <w:t xml:space="preserve"> et en est dès lors dépendant. 80 à 90% du chiffre d'affaires de nos membres est réalisé dans l'</w:t>
            </w:r>
            <w:r w:rsidR="005E2B08">
              <w:rPr>
                <w:sz w:val="20"/>
                <w:szCs w:val="20"/>
              </w:rPr>
              <w:t>horeca</w:t>
            </w:r>
            <w:r w:rsidRPr="00BC2DC4">
              <w:rPr>
                <w:sz w:val="20"/>
                <w:szCs w:val="20"/>
              </w:rPr>
              <w:t>. Le secteur de l'</w:t>
            </w:r>
            <w:r w:rsidR="005E2B08">
              <w:rPr>
                <w:sz w:val="20"/>
                <w:szCs w:val="20"/>
              </w:rPr>
              <w:t>é</w:t>
            </w:r>
            <w:r w:rsidRPr="00BC2DC4">
              <w:rPr>
                <w:sz w:val="20"/>
                <w:szCs w:val="20"/>
              </w:rPr>
              <w:t>vènementiel est également important pour nous. D'où notre demande d'appliquer aussi à notre secteur les mesures de soutien approuvées pour ces deux secteurs, tant pour les montants que pour la période.</w:t>
            </w:r>
          </w:p>
          <w:p w14:paraId="136C7B34" w14:textId="68A02B94" w:rsidR="003F685C" w:rsidRPr="00BC2DC4" w:rsidRDefault="003F685C" w:rsidP="005E2B08">
            <w:pPr>
              <w:pStyle w:val="Textebrut"/>
              <w:jc w:val="both"/>
              <w:rPr>
                <w:szCs w:val="20"/>
                <w:lang w:val="fr-FR"/>
              </w:rPr>
            </w:pPr>
            <w:r w:rsidRPr="00BC2DC4">
              <w:rPr>
                <w:szCs w:val="20"/>
                <w:lang w:val="fr-FR"/>
              </w:rPr>
              <w:t>Cela permettra à notre secteur de surmonter cette période difficile et de préserver l'emploi au maximum.</w:t>
            </w:r>
          </w:p>
          <w:p w14:paraId="3AEC86D1" w14:textId="77777777" w:rsidR="001F6F9E" w:rsidRPr="00BC2DC4" w:rsidRDefault="001F6F9E" w:rsidP="005E2B08">
            <w:pPr>
              <w:pStyle w:val="Textebrut"/>
              <w:jc w:val="both"/>
              <w:rPr>
                <w:szCs w:val="20"/>
                <w:lang w:val="fr-FR"/>
              </w:rPr>
            </w:pPr>
          </w:p>
          <w:p w14:paraId="775853CF" w14:textId="0973E1CB" w:rsidR="001F6F9E" w:rsidRPr="00BC2DC4" w:rsidRDefault="001F6F9E" w:rsidP="005E2B08">
            <w:pPr>
              <w:pStyle w:val="Textebrut1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1F6F9E" w:rsidRPr="003F685C" w14:paraId="015392D6" w14:textId="77777777" w:rsidTr="004202B7">
        <w:trPr>
          <w:trHeight w:val="567"/>
        </w:trPr>
        <w:tc>
          <w:tcPr>
            <w:tcW w:w="9210" w:type="dxa"/>
            <w:gridSpan w:val="3"/>
            <w:shd w:val="clear" w:color="auto" w:fill="auto"/>
            <w:vAlign w:val="bottom"/>
          </w:tcPr>
          <w:p w14:paraId="55538CF6" w14:textId="77777777" w:rsidR="001F6F9E" w:rsidRPr="003F685C" w:rsidRDefault="001F6F9E" w:rsidP="001F6F9E">
            <w:pPr>
              <w:pStyle w:val="Titre2"/>
            </w:pPr>
            <w:r w:rsidRPr="003F685C">
              <w:rPr>
                <w:sz w:val="20"/>
                <w:szCs w:val="21"/>
              </w:rPr>
              <w:lastRenderedPageBreak/>
              <w:t>Pour de plus amples informations, contactez</w:t>
            </w:r>
          </w:p>
        </w:tc>
      </w:tr>
      <w:tr w:rsidR="001F6F9E" w:rsidRPr="003F685C" w14:paraId="58D1AD97" w14:textId="77777777" w:rsidTr="004202B7">
        <w:trPr>
          <w:trHeight w:val="567"/>
        </w:trPr>
        <w:tc>
          <w:tcPr>
            <w:tcW w:w="4605" w:type="dxa"/>
            <w:gridSpan w:val="2"/>
            <w:shd w:val="clear" w:color="auto" w:fill="auto"/>
            <w:vAlign w:val="bottom"/>
          </w:tcPr>
          <w:p w14:paraId="7DC52C72" w14:textId="77777777" w:rsidR="001F6F9E" w:rsidRPr="003F685C" w:rsidRDefault="001F6F9E" w:rsidP="001F6F9E">
            <w:pPr>
              <w:pStyle w:val="Sansinterligne"/>
              <w:rPr>
                <w:sz w:val="20"/>
                <w:szCs w:val="21"/>
              </w:rPr>
            </w:pPr>
            <w:r w:rsidRPr="003F685C">
              <w:rPr>
                <w:sz w:val="20"/>
                <w:szCs w:val="21"/>
              </w:rPr>
              <w:t>Guy Dewulf, directeur et porte-parole</w:t>
            </w:r>
          </w:p>
          <w:p w14:paraId="104701F6" w14:textId="77777777" w:rsidR="001F6F9E" w:rsidRPr="003F685C" w:rsidRDefault="001F6F9E" w:rsidP="001F6F9E">
            <w:pPr>
              <w:pStyle w:val="Sansinterligne"/>
              <w:rPr>
                <w:sz w:val="20"/>
                <w:szCs w:val="21"/>
              </w:rPr>
            </w:pPr>
            <w:r w:rsidRPr="003F685C">
              <w:rPr>
                <w:sz w:val="20"/>
                <w:szCs w:val="21"/>
              </w:rPr>
              <w:t>GSM 0493/40.25.84</w:t>
            </w:r>
          </w:p>
          <w:p w14:paraId="67388DB3" w14:textId="0F22E741" w:rsidR="001F6F9E" w:rsidRPr="003F685C" w:rsidRDefault="00E86E29" w:rsidP="001F6F9E">
            <w:pPr>
              <w:pStyle w:val="Titre2"/>
              <w:rPr>
                <w:sz w:val="20"/>
                <w:szCs w:val="21"/>
              </w:rPr>
            </w:pPr>
            <w:hyperlink r:id="rId6" w:history="1">
              <w:r w:rsidR="001F6F9E" w:rsidRPr="003F685C">
                <w:rPr>
                  <w:rStyle w:val="Lienhypertexte"/>
                  <w:sz w:val="20"/>
                  <w:szCs w:val="21"/>
                </w:rPr>
                <w:t>Guy@febed.be</w:t>
              </w:r>
            </w:hyperlink>
          </w:p>
        </w:tc>
        <w:tc>
          <w:tcPr>
            <w:tcW w:w="4605" w:type="dxa"/>
            <w:shd w:val="clear" w:color="auto" w:fill="auto"/>
            <w:vAlign w:val="bottom"/>
          </w:tcPr>
          <w:p w14:paraId="528F26D5" w14:textId="0C719DF3" w:rsidR="001F6F9E" w:rsidRPr="003F685C" w:rsidRDefault="001F6F9E" w:rsidP="001F6F9E">
            <w:pPr>
              <w:pStyle w:val="Titre2"/>
              <w:rPr>
                <w:sz w:val="20"/>
                <w:szCs w:val="21"/>
              </w:rPr>
            </w:pPr>
          </w:p>
        </w:tc>
      </w:tr>
      <w:tr w:rsidR="001F6F9E" w:rsidRPr="003F685C" w14:paraId="42CC7B5C" w14:textId="77777777" w:rsidTr="005D1065">
        <w:trPr>
          <w:trHeight w:val="60"/>
        </w:trPr>
        <w:tc>
          <w:tcPr>
            <w:tcW w:w="4605" w:type="dxa"/>
            <w:gridSpan w:val="2"/>
            <w:shd w:val="clear" w:color="auto" w:fill="auto"/>
            <w:vAlign w:val="bottom"/>
          </w:tcPr>
          <w:p w14:paraId="6DB05883" w14:textId="77777777" w:rsidR="001F6F9E" w:rsidRPr="003F685C" w:rsidRDefault="001F6F9E" w:rsidP="001F6F9E">
            <w:pPr>
              <w:pStyle w:val="Sansinterligne"/>
              <w:rPr>
                <w:sz w:val="20"/>
                <w:szCs w:val="21"/>
              </w:rPr>
            </w:pPr>
          </w:p>
        </w:tc>
        <w:tc>
          <w:tcPr>
            <w:tcW w:w="4605" w:type="dxa"/>
            <w:shd w:val="clear" w:color="auto" w:fill="auto"/>
            <w:vAlign w:val="bottom"/>
          </w:tcPr>
          <w:p w14:paraId="2140821E" w14:textId="77777777" w:rsidR="001F6F9E" w:rsidRPr="003F685C" w:rsidRDefault="001F6F9E" w:rsidP="001F6F9E">
            <w:pPr>
              <w:pStyle w:val="Titre2"/>
              <w:rPr>
                <w:sz w:val="20"/>
                <w:szCs w:val="21"/>
              </w:rPr>
            </w:pPr>
          </w:p>
        </w:tc>
      </w:tr>
      <w:tr w:rsidR="001F6F9E" w:rsidRPr="003F685C" w14:paraId="6D570F2A" w14:textId="77777777" w:rsidTr="00433CEB">
        <w:trPr>
          <w:trHeight w:val="567"/>
        </w:trPr>
        <w:tc>
          <w:tcPr>
            <w:tcW w:w="9210" w:type="dxa"/>
            <w:gridSpan w:val="3"/>
            <w:shd w:val="clear" w:color="auto" w:fill="auto"/>
            <w:vAlign w:val="bottom"/>
          </w:tcPr>
          <w:p w14:paraId="6637F8C0" w14:textId="6B2861FA" w:rsidR="001F6F9E" w:rsidRPr="00BC2DC4" w:rsidRDefault="001F6F9E" w:rsidP="001F6F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0"/>
                <w:szCs w:val="22"/>
              </w:rPr>
            </w:pPr>
            <w:r w:rsidRPr="00BC2DC4">
              <w:rPr>
                <w:rStyle w:val="lev"/>
                <w:rFonts w:asciiTheme="minorHAnsi" w:hAnsiTheme="minorHAnsi" w:cstheme="minorHAnsi"/>
                <w:color w:val="141720"/>
                <w:sz w:val="20"/>
                <w:szCs w:val="22"/>
                <w:shd w:val="clear" w:color="auto" w:fill="FFFFFF"/>
              </w:rPr>
              <w:t>FEBED</w:t>
            </w:r>
            <w:r w:rsidRPr="00BC2DC4">
              <w:rPr>
                <w:rFonts w:asciiTheme="minorHAnsi" w:hAnsiTheme="minorHAnsi" w:cstheme="minorHAnsi"/>
                <w:color w:val="141720"/>
                <w:sz w:val="20"/>
                <w:szCs w:val="22"/>
                <w:shd w:val="clear" w:color="auto" w:fill="FFFFFF"/>
              </w:rPr>
              <w:t>, la Fédération Belge des Distributeurs en boissons, représente tous les distributeurs en boissons indépendants de Belgique. Ceux-ci assurent un emploi à 2.660 équivalents temps-plein, investissement 45 millions € dans le secteur</w:t>
            </w:r>
            <w:r w:rsidR="003F685C" w:rsidRPr="00BC2DC4">
              <w:rPr>
                <w:rFonts w:asciiTheme="minorHAnsi" w:hAnsiTheme="minorHAnsi" w:cstheme="minorHAnsi"/>
                <w:color w:val="141720"/>
                <w:sz w:val="20"/>
                <w:szCs w:val="22"/>
                <w:shd w:val="clear" w:color="auto" w:fill="FFFFFF"/>
              </w:rPr>
              <w:t xml:space="preserve"> </w:t>
            </w:r>
            <w:r w:rsidR="005E2B08">
              <w:rPr>
                <w:rFonts w:asciiTheme="minorHAnsi" w:hAnsiTheme="minorHAnsi" w:cstheme="minorHAnsi"/>
                <w:color w:val="141720"/>
                <w:sz w:val="20"/>
                <w:szCs w:val="22"/>
                <w:shd w:val="clear" w:color="auto" w:fill="FFFFFF"/>
              </w:rPr>
              <w:t>horeca</w:t>
            </w:r>
            <w:r w:rsidRPr="00BC2DC4">
              <w:rPr>
                <w:rFonts w:asciiTheme="minorHAnsi" w:hAnsiTheme="minorHAnsi" w:cstheme="minorHAnsi"/>
                <w:color w:val="141720"/>
                <w:sz w:val="20"/>
                <w:szCs w:val="22"/>
                <w:shd w:val="clear" w:color="auto" w:fill="FFFFFF"/>
              </w:rPr>
              <w:t xml:space="preserve"> et réalisent un chiffre d'affaires consolidé de 2,115 milliards €.</w:t>
            </w:r>
          </w:p>
          <w:p w14:paraId="527BAADF" w14:textId="77777777" w:rsidR="001F6F9E" w:rsidRPr="003F685C" w:rsidRDefault="001F6F9E" w:rsidP="001F6F9E">
            <w:pPr>
              <w:pStyle w:val="Titre2"/>
              <w:rPr>
                <w:sz w:val="20"/>
                <w:szCs w:val="21"/>
              </w:rPr>
            </w:pPr>
          </w:p>
        </w:tc>
      </w:tr>
    </w:tbl>
    <w:p w14:paraId="7EFD6F7D" w14:textId="77777777" w:rsidR="000202E5" w:rsidRPr="003F685C" w:rsidRDefault="000202E5" w:rsidP="005D1065"/>
    <w:sectPr w:rsidR="000202E5" w:rsidRPr="003F685C">
      <w:pgSz w:w="11906" w:h="16838"/>
      <w:pgMar w:top="993" w:right="1417" w:bottom="993" w:left="1417" w:header="708" w:footer="708" w:gutter="0"/>
      <w:cols w:space="708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0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407A20"/>
    <w:multiLevelType w:val="hybridMultilevel"/>
    <w:tmpl w:val="EEDAA3CA"/>
    <w:lvl w:ilvl="0" w:tplc="04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383438"/>
    <w:multiLevelType w:val="hybridMultilevel"/>
    <w:tmpl w:val="29EA84D2"/>
    <w:lvl w:ilvl="0" w:tplc="0413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46A036FB"/>
    <w:multiLevelType w:val="hybridMultilevel"/>
    <w:tmpl w:val="0ABC3B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C636F"/>
    <w:multiLevelType w:val="hybridMultilevel"/>
    <w:tmpl w:val="DB5CEA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90A"/>
    <w:rsid w:val="000202E5"/>
    <w:rsid w:val="000757FF"/>
    <w:rsid w:val="000B4F59"/>
    <w:rsid w:val="000D2D84"/>
    <w:rsid w:val="0011029F"/>
    <w:rsid w:val="00193785"/>
    <w:rsid w:val="001F6F9E"/>
    <w:rsid w:val="00250CB8"/>
    <w:rsid w:val="00342B56"/>
    <w:rsid w:val="00372D55"/>
    <w:rsid w:val="0037448E"/>
    <w:rsid w:val="003F685C"/>
    <w:rsid w:val="004202B7"/>
    <w:rsid w:val="004F07A9"/>
    <w:rsid w:val="0051290A"/>
    <w:rsid w:val="00522E29"/>
    <w:rsid w:val="00537833"/>
    <w:rsid w:val="005D0D1D"/>
    <w:rsid w:val="005D1065"/>
    <w:rsid w:val="005D5781"/>
    <w:rsid w:val="005E2B08"/>
    <w:rsid w:val="007D20DC"/>
    <w:rsid w:val="007D7DF0"/>
    <w:rsid w:val="008053E6"/>
    <w:rsid w:val="0081483D"/>
    <w:rsid w:val="008449C2"/>
    <w:rsid w:val="00A20379"/>
    <w:rsid w:val="00A96FD8"/>
    <w:rsid w:val="00A973D7"/>
    <w:rsid w:val="00A97A94"/>
    <w:rsid w:val="00B5159B"/>
    <w:rsid w:val="00BC2DC4"/>
    <w:rsid w:val="00E86E29"/>
    <w:rsid w:val="00EC3506"/>
    <w:rsid w:val="00F20740"/>
    <w:rsid w:val="00F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70C8CE"/>
  <w15:docId w15:val="{EA663A0A-ECC1-4ED9-88AA-B8CE105E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80" w:line="100" w:lineRule="atLeast"/>
    </w:pPr>
    <w:rPr>
      <w:rFonts w:ascii="Calibri" w:eastAsia="SimSun" w:hAnsi="Calibri" w:cs="Arial"/>
      <w:kern w:val="1"/>
      <w:sz w:val="21"/>
      <w:szCs w:val="24"/>
      <w:lang w:val="fr-FR" w:eastAsia="hi-IN" w:bidi="hi-IN"/>
    </w:rPr>
  </w:style>
  <w:style w:type="paragraph" w:styleId="Titre1">
    <w:name w:val="heading 1"/>
    <w:basedOn w:val="Normal"/>
    <w:next w:val="Corpsdetexte"/>
    <w:qFormat/>
    <w:pPr>
      <w:numPr>
        <w:numId w:val="1"/>
      </w:numPr>
      <w:outlineLvl w:val="0"/>
    </w:pPr>
    <w:rPr>
      <w:b/>
      <w:color w:val="2F5F54"/>
      <w:sz w:val="30"/>
      <w:szCs w:val="30"/>
    </w:rPr>
  </w:style>
  <w:style w:type="paragraph" w:styleId="Titre2">
    <w:name w:val="heading 2"/>
    <w:basedOn w:val="Normal"/>
    <w:next w:val="Corpsdetexte"/>
    <w:qFormat/>
    <w:pPr>
      <w:spacing w:before="0"/>
      <w:outlineLvl w:val="1"/>
    </w:pPr>
    <w:rPr>
      <w:b/>
      <w:color w:val="2F5F54"/>
      <w:sz w:val="24"/>
    </w:rPr>
  </w:style>
  <w:style w:type="paragraph" w:styleId="Titre4">
    <w:name w:val="heading 4"/>
    <w:basedOn w:val="Normal"/>
    <w:next w:val="Corpsdetexte"/>
    <w:qFormat/>
    <w:pPr>
      <w:keepNext/>
      <w:keepLines/>
      <w:numPr>
        <w:ilvl w:val="3"/>
        <w:numId w:val="1"/>
      </w:numPr>
      <w:spacing w:line="228" w:lineRule="auto"/>
      <w:jc w:val="both"/>
      <w:outlineLvl w:val="3"/>
    </w:pPr>
    <w:rPr>
      <w:rFonts w:ascii="Cambria" w:hAnsi="Cambria" w:cs="font301"/>
      <w:b/>
      <w:bCs/>
      <w:i/>
      <w:iCs/>
      <w:color w:val="4F81BD"/>
    </w:rPr>
  </w:style>
  <w:style w:type="paragraph" w:styleId="Titre5">
    <w:name w:val="heading 5"/>
    <w:basedOn w:val="Normal"/>
    <w:next w:val="Corpsdetexte"/>
    <w:qFormat/>
    <w:pPr>
      <w:keepNext/>
      <w:keepLines/>
      <w:numPr>
        <w:ilvl w:val="4"/>
        <w:numId w:val="1"/>
      </w:numPr>
      <w:spacing w:line="228" w:lineRule="auto"/>
      <w:jc w:val="center"/>
      <w:outlineLvl w:val="4"/>
    </w:pPr>
    <w:rPr>
      <w:rFonts w:cs="font301"/>
      <w:b/>
      <w:color w:val="00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Titre4Car">
    <w:name w:val="Titre 4 Car"/>
    <w:rPr>
      <w:rFonts w:ascii="Cambria" w:hAnsi="Cambria" w:cs="font301"/>
      <w:b/>
      <w:bCs/>
      <w:i/>
      <w:iCs/>
      <w:color w:val="4F81BD"/>
    </w:rPr>
  </w:style>
  <w:style w:type="character" w:customStyle="1" w:styleId="Titre5Car">
    <w:name w:val="Titre 5 Car"/>
    <w:rPr>
      <w:rFonts w:ascii="Calibri" w:hAnsi="Calibri" w:cs="font301"/>
      <w:b/>
      <w:color w:val="000000"/>
      <w:u w:val="single"/>
    </w:rPr>
  </w:style>
  <w:style w:type="character" w:customStyle="1" w:styleId="Sous-titreCar">
    <w:name w:val="Sous-titre Car"/>
    <w:rPr>
      <w:rFonts w:ascii="Calibri" w:hAnsi="Calibri" w:cs="font301"/>
      <w:b/>
      <w:i/>
      <w:iCs/>
      <w:color w:val="000099"/>
      <w:spacing w:val="15"/>
      <w:sz w:val="24"/>
      <w:szCs w:val="24"/>
    </w:rPr>
  </w:style>
  <w:style w:type="character" w:customStyle="1" w:styleId="Titre2Car">
    <w:name w:val="Titre 2 Car"/>
    <w:rPr>
      <w:rFonts w:ascii="Calibri" w:hAnsi="Calibri" w:cs="Calibri"/>
      <w:b/>
      <w:color w:val="2F5F54"/>
      <w:sz w:val="24"/>
      <w:szCs w:val="24"/>
    </w:rPr>
  </w:style>
  <w:style w:type="character" w:customStyle="1" w:styleId="Titre1Car">
    <w:name w:val="Titre 1 Car"/>
    <w:rPr>
      <w:rFonts w:ascii="Calibri" w:hAnsi="Calibri" w:cs="Calibri"/>
      <w:b/>
      <w:color w:val="2F5F54"/>
      <w:sz w:val="30"/>
      <w:szCs w:val="30"/>
    </w:rPr>
  </w:style>
  <w:style w:type="character" w:styleId="lev">
    <w:name w:val="Strong"/>
    <w:uiPriority w:val="22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extebrutCar">
    <w:name w:val="Texte brut Car"/>
    <w:link w:val="Textebrut"/>
    <w:uiPriority w:val="99"/>
    <w:rPr>
      <w:rFonts w:ascii="Calibri" w:hAnsi="Calibri" w:cs="Consolas"/>
      <w:szCs w:val="21"/>
      <w:lang w:val="nl-BE"/>
    </w:rPr>
  </w:style>
  <w:style w:type="character" w:customStyle="1" w:styleId="ListLabel1">
    <w:name w:val="ListLabel 1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ous-titre">
    <w:name w:val="Subtitle"/>
    <w:basedOn w:val="Normal"/>
    <w:next w:val="Corpsdetexte"/>
    <w:qFormat/>
    <w:pPr>
      <w:widowControl w:val="0"/>
      <w:tabs>
        <w:tab w:val="left" w:pos="357"/>
      </w:tabs>
      <w:spacing w:line="228" w:lineRule="auto"/>
      <w:jc w:val="both"/>
    </w:pPr>
    <w:rPr>
      <w:rFonts w:cs="font301"/>
      <w:b/>
      <w:i/>
      <w:iCs/>
      <w:color w:val="000099"/>
      <w:spacing w:val="15"/>
      <w:sz w:val="24"/>
    </w:rPr>
  </w:style>
  <w:style w:type="paragraph" w:customStyle="1" w:styleId="Sansinterligne1">
    <w:name w:val="Sans interligne1"/>
    <w:pPr>
      <w:suppressAutoHyphens/>
      <w:spacing w:line="100" w:lineRule="atLeast"/>
    </w:pPr>
    <w:rPr>
      <w:rFonts w:ascii="Calibri" w:eastAsia="SimSun" w:hAnsi="Calibri" w:cs="Arial"/>
      <w:kern w:val="1"/>
      <w:sz w:val="21"/>
      <w:szCs w:val="24"/>
      <w:lang w:val="fr-FR" w:eastAsia="hi-IN" w:bidi="hi-IN"/>
    </w:rPr>
  </w:style>
  <w:style w:type="paragraph" w:customStyle="1" w:styleId="Textedebulles1">
    <w:name w:val="Texte de bulles1"/>
    <w:basedOn w:val="Normal"/>
    <w:pPr>
      <w:spacing w:before="0"/>
    </w:pPr>
    <w:rPr>
      <w:rFonts w:ascii="Tahoma" w:hAnsi="Tahoma" w:cs="Tahoma"/>
      <w:sz w:val="16"/>
      <w:szCs w:val="16"/>
    </w:rPr>
  </w:style>
  <w:style w:type="paragraph" w:customStyle="1" w:styleId="Textebrut1">
    <w:name w:val="Texte brut1"/>
    <w:basedOn w:val="Normal"/>
    <w:pPr>
      <w:spacing w:before="0"/>
    </w:pPr>
    <w:rPr>
      <w:rFonts w:cs="Consolas"/>
      <w:sz w:val="22"/>
      <w:szCs w:val="21"/>
      <w:lang w:val="nl-B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8053E6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053E6"/>
    <w:rPr>
      <w:rFonts w:ascii="Calibri" w:eastAsia="Calibri" w:hAnsi="Calibri"/>
      <w:sz w:val="21"/>
      <w:szCs w:val="22"/>
      <w:lang w:val="fr-FR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2D84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1F6F9E"/>
    <w:pPr>
      <w:suppressAutoHyphens w:val="0"/>
      <w:spacing w:before="0" w:line="240" w:lineRule="auto"/>
    </w:pPr>
    <w:rPr>
      <w:rFonts w:eastAsia="Times New Roman" w:cs="Consolas"/>
      <w:kern w:val="0"/>
      <w:sz w:val="20"/>
      <w:szCs w:val="21"/>
      <w:lang w:val="nl-BE" w:eastAsia="nl-BE" w:bidi="ar-SA"/>
    </w:rPr>
  </w:style>
  <w:style w:type="character" w:customStyle="1" w:styleId="TextebrutCar1">
    <w:name w:val="Texte brut Car1"/>
    <w:basedOn w:val="Policepardfaut"/>
    <w:uiPriority w:val="99"/>
    <w:semiHidden/>
    <w:rsid w:val="001F6F9E"/>
    <w:rPr>
      <w:rFonts w:ascii="Consolas" w:eastAsia="SimSun" w:hAnsi="Consolas" w:cs="Mangal"/>
      <w:kern w:val="1"/>
      <w:sz w:val="21"/>
      <w:szCs w:val="19"/>
      <w:lang w:val="fr-FR" w:eastAsia="hi-IN" w:bidi="hi-IN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522E29"/>
    <w:pPr>
      <w:spacing w:before="0" w:line="240" w:lineRule="auto"/>
    </w:pPr>
    <w:rPr>
      <w:rFonts w:ascii="Segoe UI" w:hAnsi="Segoe UI" w:cs="Mangal"/>
      <w:sz w:val="18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522E29"/>
    <w:rPr>
      <w:rFonts w:ascii="Segoe UI" w:eastAsia="SimSun" w:hAnsi="Segoe UI" w:cs="Mangal"/>
      <w:kern w:val="1"/>
      <w:sz w:val="18"/>
      <w:szCs w:val="16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uy@febed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994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6455</CharactersWithSpaces>
  <SharedDoc>false</SharedDoc>
  <HLinks>
    <vt:vector size="18" baseType="variant">
      <vt:variant>
        <vt:i4>458814</vt:i4>
      </vt:variant>
      <vt:variant>
        <vt:i4>6</vt:i4>
      </vt:variant>
      <vt:variant>
        <vt:i4>0</vt:i4>
      </vt:variant>
      <vt:variant>
        <vt:i4>5</vt:i4>
      </vt:variant>
      <vt:variant>
        <vt:lpwstr>mailto:gilles@febed.be</vt:lpwstr>
      </vt:variant>
      <vt:variant>
        <vt:lpwstr/>
      </vt:variant>
      <vt:variant>
        <vt:i4>393243</vt:i4>
      </vt:variant>
      <vt:variant>
        <vt:i4>3</vt:i4>
      </vt:variant>
      <vt:variant>
        <vt:i4>0</vt:i4>
      </vt:variant>
      <vt:variant>
        <vt:i4>5</vt:i4>
      </vt:variant>
      <vt:variant>
        <vt:lpwstr>http://www.febed.be/</vt:lpwstr>
      </vt:variant>
      <vt:variant>
        <vt:lpwstr/>
      </vt:variant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mailto:marc.de.keyzer@dekeyzer-drinks.be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Normand</dc:creator>
  <cp:lastModifiedBy>Françoise Normand</cp:lastModifiedBy>
  <cp:revision>9</cp:revision>
  <cp:lastPrinted>2019-03-15T17:09:00Z</cp:lastPrinted>
  <dcterms:created xsi:type="dcterms:W3CDTF">2020-05-26T14:12:00Z</dcterms:created>
  <dcterms:modified xsi:type="dcterms:W3CDTF">2020-05-28T12:50:00Z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